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3B26A476" w:rsidR="00E90E49" w:rsidRPr="00CE0424" w:rsidRDefault="00EA06D5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A06D5">
        <w:t>3GPP TSG RAN WG1 Ad-Hoc Meeting 1901</w:t>
      </w:r>
      <w:r w:rsidR="00E90E49" w:rsidRPr="00CE0424">
        <w:tab/>
      </w:r>
      <w:proofErr w:type="spellStart"/>
      <w:r w:rsidR="00E90E49" w:rsidRPr="00CE0424">
        <w:rPr>
          <w:sz w:val="32"/>
          <w:szCs w:val="32"/>
        </w:rPr>
        <w:t>Tdoc</w:t>
      </w:r>
      <w:proofErr w:type="spellEnd"/>
      <w:r w:rsidR="00E90E49"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1A79FF" w:rsidRPr="008A4F40">
        <w:rPr>
          <w:sz w:val="32"/>
          <w:szCs w:val="32"/>
        </w:rPr>
        <w:t>19</w:t>
      </w:r>
      <w:r w:rsidR="001A79FF">
        <w:rPr>
          <w:sz w:val="32"/>
          <w:szCs w:val="32"/>
        </w:rPr>
        <w:t>00162</w:t>
      </w:r>
    </w:p>
    <w:p w14:paraId="06CCB2C4" w14:textId="12313014" w:rsidR="009E1BB6" w:rsidRPr="00CE0424" w:rsidRDefault="00EA06D5" w:rsidP="009E1BB6">
      <w:pPr>
        <w:pStyle w:val="3GPPHeader"/>
      </w:pPr>
      <w:r w:rsidRPr="00EA06D5">
        <w:t>Taipei, Taiwan, 21</w:t>
      </w:r>
      <w:r w:rsidRPr="000218B4">
        <w:rPr>
          <w:vertAlign w:val="superscript"/>
        </w:rPr>
        <w:t>st</w:t>
      </w:r>
      <w:r w:rsidRPr="00EA06D5">
        <w:t xml:space="preserve"> – 25</w:t>
      </w:r>
      <w:r w:rsidRPr="000218B4">
        <w:rPr>
          <w:vertAlign w:val="superscript"/>
        </w:rPr>
        <w:t>th</w:t>
      </w:r>
      <w:r w:rsidR="000218B4">
        <w:t xml:space="preserve"> January</w:t>
      </w:r>
      <w:r w:rsidRPr="00EA06D5">
        <w:t xml:space="preserve">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322BAD85" w:rsidR="00E90E49" w:rsidRPr="008E7E15" w:rsidRDefault="00E90E49" w:rsidP="00311702">
      <w:pPr>
        <w:pStyle w:val="3GPPHeader"/>
        <w:rPr>
          <w:sz w:val="22"/>
          <w:szCs w:val="22"/>
          <w:lang w:val="en-US"/>
        </w:rPr>
      </w:pPr>
      <w:r w:rsidRPr="008E7E15">
        <w:rPr>
          <w:sz w:val="22"/>
          <w:szCs w:val="22"/>
          <w:lang w:val="en-US"/>
        </w:rPr>
        <w:t>Agenda Item:</w:t>
      </w:r>
      <w:r w:rsidRPr="008E7E15">
        <w:rPr>
          <w:sz w:val="22"/>
          <w:szCs w:val="22"/>
          <w:lang w:val="en-US"/>
        </w:rPr>
        <w:tab/>
      </w:r>
      <w:r w:rsidR="001A79FF" w:rsidRPr="008E7E15">
        <w:rPr>
          <w:sz w:val="22"/>
          <w:szCs w:val="22"/>
          <w:lang w:val="en-US"/>
        </w:rPr>
        <w:t>7.2.6.1.5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3201C01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A79FF" w:rsidRPr="001A79FF">
        <w:rPr>
          <w:sz w:val="22"/>
          <w:szCs w:val="22"/>
        </w:rPr>
        <w:t xml:space="preserve">Enhancements for </w:t>
      </w:r>
      <w:r w:rsidR="004167ED">
        <w:rPr>
          <w:sz w:val="22"/>
          <w:szCs w:val="22"/>
        </w:rPr>
        <w:t>I</w:t>
      </w:r>
      <w:r w:rsidR="001A79FF" w:rsidRPr="001A79FF">
        <w:rPr>
          <w:sz w:val="22"/>
          <w:szCs w:val="22"/>
        </w:rPr>
        <w:t xml:space="preserve">ntra-UE </w:t>
      </w:r>
      <w:r w:rsidR="00E70929">
        <w:rPr>
          <w:sz w:val="22"/>
          <w:szCs w:val="22"/>
        </w:rPr>
        <w:t xml:space="preserve">UL </w:t>
      </w:r>
      <w:r w:rsidR="004167ED">
        <w:rPr>
          <w:sz w:val="22"/>
          <w:szCs w:val="22"/>
        </w:rPr>
        <w:t>P</w:t>
      </w:r>
      <w:r w:rsidR="001A79FF" w:rsidRPr="001A79FF">
        <w:rPr>
          <w:sz w:val="22"/>
          <w:szCs w:val="22"/>
        </w:rPr>
        <w:t xml:space="preserve">rioritization and </w:t>
      </w:r>
      <w:r w:rsidR="004167ED">
        <w:rPr>
          <w:sz w:val="22"/>
          <w:szCs w:val="22"/>
        </w:rPr>
        <w:t>M</w:t>
      </w:r>
      <w:r w:rsidR="001A79FF" w:rsidRPr="001A79FF">
        <w:rPr>
          <w:sz w:val="22"/>
          <w:szCs w:val="22"/>
        </w:rPr>
        <w:t>ultiplexing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</w:t>
      </w:r>
      <w:r w:rsidRPr="001A79FF">
        <w:rPr>
          <w:sz w:val="22"/>
          <w:szCs w:val="22"/>
        </w:rPr>
        <w:t>r:</w:t>
      </w:r>
      <w:r w:rsidRPr="001A79FF">
        <w:rPr>
          <w:sz w:val="22"/>
          <w:szCs w:val="22"/>
        </w:rPr>
        <w:tab/>
        <w:t>Discussion, Decision</w:t>
      </w:r>
    </w:p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423D4E" w14:textId="72BA464A" w:rsidR="00477768" w:rsidRPr="00CE0424" w:rsidRDefault="001A79FF" w:rsidP="00CE0424">
      <w:pPr>
        <w:pStyle w:val="BodyText"/>
      </w:pPr>
      <w:r>
        <w:t>In our previous contribution</w:t>
      </w:r>
      <w:r w:rsidR="003F5BD6">
        <w:t xml:space="preserve">, </w:t>
      </w:r>
      <w:r>
        <w:t>we initiate</w:t>
      </w:r>
      <w:r w:rsidR="003F5BD6">
        <w:t>d</w:t>
      </w:r>
      <w:r>
        <w:t xml:space="preserve"> a discussion </w:t>
      </w:r>
      <w:r w:rsidR="00F121F3">
        <w:t xml:space="preserve">paper </w:t>
      </w:r>
      <w:r>
        <w:t xml:space="preserve">about enhancements to enable intra-UE prioritization and multiplexing in UL [1]. </w:t>
      </w:r>
      <w:r w:rsidR="00712976">
        <w:t xml:space="preserve">Despite </w:t>
      </w:r>
      <w:r w:rsidR="00CA48AD">
        <w:t xml:space="preserve">the </w:t>
      </w:r>
      <w:r w:rsidR="00712976">
        <w:t xml:space="preserve">extensive discussion about the feature in Release 15, </w:t>
      </w:r>
      <w:r w:rsidR="007D7ABD">
        <w:t xml:space="preserve">there were no agreements on it. </w:t>
      </w:r>
      <w:r>
        <w:t>The support of intra-UE multiplexing as such may considerably increase scheduling flexibility and system efficiency by enabling of co-existence of services with different requirements</w:t>
      </w:r>
      <w:r w:rsidR="00715E2A">
        <w:t xml:space="preserve"> in Release 16</w:t>
      </w:r>
      <w:r>
        <w:t>. Moreover, RAN WG2</w:t>
      </w:r>
      <w:r w:rsidR="007D7ABD">
        <w:t xml:space="preserve"> initiated a discussion in </w:t>
      </w:r>
      <w:proofErr w:type="spellStart"/>
      <w:r w:rsidR="007D7ABD">
        <w:t>IIoT</w:t>
      </w:r>
      <w:proofErr w:type="spellEnd"/>
      <w:r w:rsidR="007D7ABD">
        <w:t xml:space="preserve"> SI and</w:t>
      </w:r>
      <w:r>
        <w:t xml:space="preserve"> indicated that work on intra-UE prioritization should be coordinated with RAN1 and studied jointly [2]. In this paper we discuss </w:t>
      </w:r>
      <w:r w:rsidR="00715E2A">
        <w:t xml:space="preserve">candidate solutions for support of </w:t>
      </w:r>
      <w:r w:rsidR="005A3348">
        <w:t xml:space="preserve">UL </w:t>
      </w:r>
      <w:r w:rsidR="00715E2A">
        <w:t>intra-UE multiplexing scenarios.</w:t>
      </w:r>
    </w:p>
    <w:p w14:paraId="6F368817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3147E33" w14:textId="2C7228BE" w:rsidR="002F53F2" w:rsidRDefault="00EA6F59" w:rsidP="00EA6F59">
      <w:pPr>
        <w:pStyle w:val="Heading2"/>
      </w:pPr>
      <w:r>
        <w:t xml:space="preserve">2.1 </w:t>
      </w:r>
      <w:r w:rsidR="00964E7C">
        <w:t>D</w:t>
      </w:r>
      <w:r w:rsidR="002F53F2">
        <w:t>ynamic grant versus dynamic grant</w:t>
      </w:r>
    </w:p>
    <w:p w14:paraId="4D09C630" w14:textId="401B6557" w:rsidR="00587143" w:rsidRDefault="00C47FF8" w:rsidP="006949EA">
      <w:pPr>
        <w:pStyle w:val="BodyText"/>
      </w:pPr>
      <w:r>
        <w:t>In</w:t>
      </w:r>
      <w:r w:rsidR="006F2164">
        <w:t xml:space="preserve"> </w:t>
      </w:r>
      <w:r w:rsidR="00FF522B">
        <w:t>dynamic grant versus dynamic grant overlapping</w:t>
      </w:r>
      <w:r w:rsidR="00DC77E3">
        <w:t xml:space="preserve">, two </w:t>
      </w:r>
      <w:r w:rsidR="00587143">
        <w:t>scenarios are</w:t>
      </w:r>
      <w:r w:rsidR="00DC77E3">
        <w:t xml:space="preserve"> </w:t>
      </w:r>
      <w:r w:rsidR="007E1CBB">
        <w:t xml:space="preserve">identified </w:t>
      </w:r>
      <w:r w:rsidR="00587143">
        <w:t xml:space="preserve">and </w:t>
      </w:r>
      <w:r w:rsidR="007E1CBB">
        <w:t xml:space="preserve">shown </w:t>
      </w:r>
      <w:r w:rsidR="00587143">
        <w:t xml:space="preserve">in </w:t>
      </w:r>
      <w:r w:rsidR="007E1CBB">
        <w:t>Fig.1</w:t>
      </w:r>
      <w:r>
        <w:t xml:space="preserve">. </w:t>
      </w:r>
    </w:p>
    <w:p w14:paraId="30C6B926" w14:textId="03951C6A" w:rsidR="00587143" w:rsidRDefault="00587143" w:rsidP="00EA6F59">
      <w:pPr>
        <w:pStyle w:val="BodyText"/>
        <w:numPr>
          <w:ilvl w:val="0"/>
          <w:numId w:val="25"/>
        </w:numPr>
      </w:pPr>
      <w:r>
        <w:t>Case (a)</w:t>
      </w:r>
      <w:r w:rsidR="00CB7FFC">
        <w:t xml:space="preserve">: </w:t>
      </w:r>
      <w:r w:rsidR="006F2164">
        <w:t xml:space="preserve">After receiving the second DCI, </w:t>
      </w:r>
      <w:r w:rsidR="00CB7FFC">
        <w:t xml:space="preserve">UE </w:t>
      </w:r>
      <w:r w:rsidR="00EA6F59">
        <w:t xml:space="preserve">has </w:t>
      </w:r>
      <w:proofErr w:type="gramStart"/>
      <w:r w:rsidR="00EA6F59">
        <w:t>sufficient</w:t>
      </w:r>
      <w:proofErr w:type="gramEnd"/>
      <w:r w:rsidR="00EA6F59">
        <w:t xml:space="preserve"> time to react before PUSCH1 transmission is scheduled to start. UE </w:t>
      </w:r>
      <w:r w:rsidR="006F2164">
        <w:t>cancel</w:t>
      </w:r>
      <w:r w:rsidR="000F6121">
        <w:t>s</w:t>
      </w:r>
      <w:r w:rsidR="006F2164">
        <w:t xml:space="preserve"> the first PUSCH</w:t>
      </w:r>
      <w:r w:rsidR="00EA6F59">
        <w:t xml:space="preserve"> (i.e., PUSCH1)</w:t>
      </w:r>
      <w:r w:rsidR="006F2164">
        <w:t xml:space="preserve"> transmission. </w:t>
      </w:r>
      <w:r w:rsidR="000F6121">
        <w:t xml:space="preserve">There is only one PUSCH, i.e., PUSCH 2, transmitted. </w:t>
      </w:r>
    </w:p>
    <w:p w14:paraId="03F5AF97" w14:textId="367CA706" w:rsidR="00C47FF8" w:rsidRDefault="00C47FF8" w:rsidP="00EA6F59">
      <w:pPr>
        <w:pStyle w:val="BodyText"/>
        <w:numPr>
          <w:ilvl w:val="0"/>
          <w:numId w:val="25"/>
        </w:numPr>
      </w:pPr>
      <w:r>
        <w:t xml:space="preserve">Case (b): </w:t>
      </w:r>
      <w:r w:rsidR="000F6121">
        <w:t xml:space="preserve">After receiving the second DCI, </w:t>
      </w:r>
      <w:r w:rsidR="00EA6F59">
        <w:t xml:space="preserve">there is no </w:t>
      </w:r>
      <w:proofErr w:type="gramStart"/>
      <w:r w:rsidR="00EA6F59">
        <w:t>sufficient</w:t>
      </w:r>
      <w:proofErr w:type="gramEnd"/>
      <w:r w:rsidR="00EA6F59">
        <w:t xml:space="preserve"> time to react. It’s </w:t>
      </w:r>
      <w:r w:rsidR="000F6121">
        <w:t>too late</w:t>
      </w:r>
      <w:r w:rsidR="00EA6F59">
        <w:t xml:space="preserve"> for the UE</w:t>
      </w:r>
      <w:r w:rsidR="000F6121">
        <w:t xml:space="preserve"> to cancel the first PUSCH transmission. This can be treated as a special case of </w:t>
      </w:r>
      <w:r w:rsidR="00416111">
        <w:t>i</w:t>
      </w:r>
      <w:r w:rsidR="000F6121">
        <w:t>nter-UE pre-emption and information about pre-emption of PUSCH1 can be derived by UE internally. In this case UE should be able to stop transmission of PUSCH1 and start transmission of PUSCH2.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52C4A" w14:paraId="3AD02135" w14:textId="77777777" w:rsidTr="00626DE6">
        <w:tc>
          <w:tcPr>
            <w:tcW w:w="4814" w:type="dxa"/>
          </w:tcPr>
          <w:p w14:paraId="269ED6A2" w14:textId="77777777" w:rsidR="00F52C4A" w:rsidRDefault="00F52C4A" w:rsidP="00626DE6">
            <w:pPr>
              <w:pStyle w:val="BodyText"/>
              <w:jc w:val="center"/>
            </w:pPr>
            <w:r>
              <w:rPr>
                <w:noProof/>
              </w:rPr>
              <w:drawing>
                <wp:inline distT="0" distB="0" distL="0" distR="0" wp14:anchorId="2F08937D" wp14:editId="770EE17F">
                  <wp:extent cx="2894330" cy="1896110"/>
                  <wp:effectExtent l="0" t="0" r="127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2391"/>
                          <a:stretch/>
                        </pic:blipFill>
                        <pic:spPr bwMode="auto">
                          <a:xfrm>
                            <a:off x="0" y="0"/>
                            <a:ext cx="2924063" cy="1915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369CDCD1" w14:textId="77777777" w:rsidR="00F52C4A" w:rsidRDefault="00F52C4A" w:rsidP="00626DE6">
            <w:pPr>
              <w:pStyle w:val="BodyText"/>
              <w:jc w:val="center"/>
            </w:pPr>
            <w:r>
              <w:rPr>
                <w:noProof/>
              </w:rPr>
              <w:drawing>
                <wp:inline distT="0" distB="0" distL="0" distR="0" wp14:anchorId="10EDC318" wp14:editId="0C62303C">
                  <wp:extent cx="2373900" cy="1870922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1751" t="4122" b="-1"/>
                          <a:stretch/>
                        </pic:blipFill>
                        <pic:spPr bwMode="auto">
                          <a:xfrm>
                            <a:off x="0" y="0"/>
                            <a:ext cx="2417796" cy="19055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C4A" w14:paraId="74EA4BF9" w14:textId="77777777" w:rsidTr="00626DE6">
        <w:tc>
          <w:tcPr>
            <w:tcW w:w="4814" w:type="dxa"/>
          </w:tcPr>
          <w:p w14:paraId="5D96BB94" w14:textId="78EFBB1C" w:rsidR="00F52C4A" w:rsidRDefault="00F52C4A" w:rsidP="00626DE6">
            <w:pPr>
              <w:pStyle w:val="BodyText"/>
              <w:numPr>
                <w:ilvl w:val="0"/>
                <w:numId w:val="24"/>
              </w:numPr>
              <w:jc w:val="center"/>
            </w:pPr>
            <w:r>
              <w:t>UE skip PUSCH1</w:t>
            </w:r>
          </w:p>
        </w:tc>
        <w:tc>
          <w:tcPr>
            <w:tcW w:w="4815" w:type="dxa"/>
          </w:tcPr>
          <w:p w14:paraId="7AA707FC" w14:textId="77777777" w:rsidR="00F52C4A" w:rsidRDefault="00F52C4A" w:rsidP="00626DE6">
            <w:pPr>
              <w:pStyle w:val="BodyText"/>
              <w:numPr>
                <w:ilvl w:val="0"/>
                <w:numId w:val="24"/>
              </w:numPr>
              <w:jc w:val="center"/>
            </w:pPr>
            <w:r>
              <w:t>PUSCH1 has been started but is stopped due to PUSCH2</w:t>
            </w:r>
          </w:p>
        </w:tc>
      </w:tr>
    </w:tbl>
    <w:p w14:paraId="5B71925B" w14:textId="441EE23F" w:rsidR="00F52C4A" w:rsidRPr="000F701B" w:rsidRDefault="00F52C4A" w:rsidP="00F52C4A">
      <w:pPr>
        <w:pStyle w:val="TF"/>
        <w:rPr>
          <w:lang w:val="en-US"/>
        </w:rPr>
      </w:pPr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CE0424">
        <w:t xml:space="preserve">: </w:t>
      </w:r>
      <w:r>
        <w:rPr>
          <w:lang w:val="en-US"/>
        </w:rPr>
        <w:t>Intra-UE prioritization in UL (dynamic grant versus dynamic grant).</w:t>
      </w:r>
    </w:p>
    <w:p w14:paraId="538083B0" w14:textId="77777777" w:rsidR="00EA6F59" w:rsidRDefault="002F53F2" w:rsidP="006949EA">
      <w:pPr>
        <w:pStyle w:val="BodyText"/>
      </w:pPr>
      <w:r>
        <w:lastRenderedPageBreak/>
        <w:t xml:space="preserve">Since </w:t>
      </w:r>
      <w:r w:rsidR="00964E7C">
        <w:t xml:space="preserve">the </w:t>
      </w:r>
      <w:proofErr w:type="spellStart"/>
      <w:r w:rsidR="00964E7C">
        <w:t>gNB</w:t>
      </w:r>
      <w:proofErr w:type="spellEnd"/>
      <w:r w:rsidR="00964E7C">
        <w:t xml:space="preserve"> is aware of the first PUSCH transmission, it is a reasonable </w:t>
      </w:r>
      <w:r w:rsidR="00EA6F59">
        <w:t xml:space="preserve">assumption of scheduler </w:t>
      </w:r>
      <w:r w:rsidR="00964E7C">
        <w:t xml:space="preserve">implementation that </w:t>
      </w:r>
      <w:r w:rsidR="00EA6F59">
        <w:t xml:space="preserve">if a second PUSCH is scheduled to overlap with a first PUSCH, </w:t>
      </w:r>
      <w:r w:rsidR="00964E7C">
        <w:t>the second PUSCH is targeted for high priority UL transmission</w:t>
      </w:r>
      <w:r w:rsidR="00EA6F59">
        <w:t>,</w:t>
      </w:r>
      <w:r w:rsidR="00974BFA">
        <w:t xml:space="preserve"> and </w:t>
      </w:r>
      <w:r w:rsidR="00EA6F59">
        <w:t>the second PUSCH</w:t>
      </w:r>
      <w:r w:rsidR="00974BFA">
        <w:t xml:space="preserve"> should have a higher priority</w:t>
      </w:r>
      <w:r w:rsidR="00EA6F59">
        <w:t xml:space="preserve"> than the first PUSCH</w:t>
      </w:r>
      <w:r w:rsidR="00964E7C">
        <w:t>.</w:t>
      </w:r>
    </w:p>
    <w:p w14:paraId="25CCADAE" w14:textId="29022CE1" w:rsidR="002938E4" w:rsidRDefault="00964E7C" w:rsidP="006949EA">
      <w:pPr>
        <w:pStyle w:val="BodyText"/>
      </w:pPr>
      <w:r>
        <w:t xml:space="preserve"> </w:t>
      </w:r>
    </w:p>
    <w:p w14:paraId="5740845D" w14:textId="1D12C32F" w:rsidR="00964E7C" w:rsidRDefault="00964E7C" w:rsidP="00964E7C">
      <w:pPr>
        <w:pStyle w:val="Proposal"/>
      </w:pPr>
      <w:bookmarkStart w:id="1" w:name="_Toc535018996"/>
      <w:r>
        <w:t xml:space="preserve">In case of dynamic grant versus dynamic grant prioritization, </w:t>
      </w:r>
      <w:r w:rsidR="00EA6F59">
        <w:t xml:space="preserve">UE assumes </w:t>
      </w:r>
      <w:r>
        <w:t>a later received UL grant has a higher priority</w:t>
      </w:r>
      <w:r w:rsidR="00EA6F59">
        <w:t xml:space="preserve"> than an earlier grant</w:t>
      </w:r>
      <w:r>
        <w:t>.</w:t>
      </w:r>
      <w:bookmarkEnd w:id="1"/>
      <w:r>
        <w:t xml:space="preserve"> </w:t>
      </w:r>
    </w:p>
    <w:p w14:paraId="1E98B06D" w14:textId="77777777" w:rsidR="007E1CBB" w:rsidRDefault="007E1CBB" w:rsidP="006949EA">
      <w:pPr>
        <w:pStyle w:val="BodyText"/>
      </w:pPr>
    </w:p>
    <w:p w14:paraId="704BF587" w14:textId="50FAF2D8" w:rsidR="000F701B" w:rsidRDefault="007E1CBB" w:rsidP="00EA6F59">
      <w:pPr>
        <w:pStyle w:val="BodyText"/>
        <w:rPr>
          <w:noProof/>
        </w:rPr>
      </w:pPr>
      <w:r>
        <w:t>Additionally, a</w:t>
      </w:r>
      <w:r w:rsidR="007D7ABD">
        <w:t xml:space="preserve"> timing limitation can be used to check whether it is possible to drop one tran</w:t>
      </w:r>
      <w:r w:rsidR="006949EA">
        <w:t xml:space="preserve">smission and start another one, i.e. the UE is provided with </w:t>
      </w:r>
      <w:proofErr w:type="gramStart"/>
      <w:r w:rsidR="006949EA">
        <w:t>sufficient</w:t>
      </w:r>
      <w:proofErr w:type="gramEnd"/>
      <w:r w:rsidR="006949EA">
        <w:t xml:space="preserve"> time for such operations. Reusing Rel-15 established framework, this operation should be feasible if </w:t>
      </w:r>
      <w:r w:rsidR="006949EA" w:rsidRPr="006949EA">
        <w:rPr>
          <w:i/>
        </w:rPr>
        <w:t>S</w:t>
      </w:r>
      <w:r w:rsidR="006949EA" w:rsidRPr="006949EA">
        <w:rPr>
          <w:i/>
          <w:vertAlign w:val="subscript"/>
        </w:rPr>
        <w:t>0</w:t>
      </w:r>
      <w:r w:rsidR="006949EA">
        <w:t xml:space="preserve"> the earliest symbol of the overlapping PUSCHs is not before a symbol with CP starting </w:t>
      </w:r>
      <w:r w:rsidR="006949EA" w:rsidRPr="00B916EC">
        <w:rPr>
          <w:position w:val="-12"/>
        </w:rPr>
        <w:object w:dxaOrig="4580" w:dyaOrig="360" w14:anchorId="7EAFF2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9pt;height:18.15pt" o:ole="">
            <v:imagedata r:id="rId10" o:title=""/>
          </v:shape>
          <o:OLEObject Type="Embed" ProgID="Equation.3" ShapeID="_x0000_i1025" DrawAspect="Content" ObjectID="_1608762172" r:id="rId11"/>
        </w:object>
      </w:r>
      <w:r w:rsidR="006949EA">
        <w:t xml:space="preserve"> after a last symbol of the PDCCHs scheduling the PUSCHs (as specified in Section </w:t>
      </w:r>
      <w:r w:rsidR="00D02865">
        <w:t>6.4</w:t>
      </w:r>
      <w:r w:rsidR="006949EA">
        <w:t xml:space="preserve"> of TS 38.</w:t>
      </w:r>
      <w:r w:rsidR="00D02865">
        <w:t>214</w:t>
      </w:r>
      <w:r>
        <w:t xml:space="preserve"> for PUSCH processing</w:t>
      </w:r>
      <w:r w:rsidR="006949EA">
        <w:t>). See Figure 1.</w:t>
      </w:r>
    </w:p>
    <w:p w14:paraId="697A9D26" w14:textId="29DF90AA" w:rsidR="0027144F" w:rsidRDefault="0027144F" w:rsidP="00CE0424">
      <w:pPr>
        <w:pStyle w:val="BodyText"/>
      </w:pPr>
    </w:p>
    <w:p w14:paraId="2B2416CA" w14:textId="5806B033" w:rsidR="00D17257" w:rsidRPr="00D17257" w:rsidRDefault="007E1CBB" w:rsidP="00D17257">
      <w:pPr>
        <w:pStyle w:val="Proposal"/>
      </w:pPr>
      <w:bookmarkStart w:id="2" w:name="_Toc535018997"/>
      <w:r>
        <w:t xml:space="preserve">In case of intra-UE prioritization, </w:t>
      </w:r>
      <w:r w:rsidR="00803774" w:rsidRPr="00803774">
        <w:t xml:space="preserve">the UE </w:t>
      </w:r>
      <w:r>
        <w:t xml:space="preserve">may </w:t>
      </w:r>
      <w:r w:rsidR="00803774" w:rsidRPr="00803774">
        <w:t>follow the later received grant and drop</w:t>
      </w:r>
      <w:r w:rsidR="00803774">
        <w:t xml:space="preserve"> the previously scheduled PUSCH</w:t>
      </w:r>
      <w:r w:rsidR="00D17257">
        <w:t xml:space="preserve"> if </w:t>
      </w:r>
      <w:r w:rsidR="00D17257" w:rsidRPr="00D17257">
        <w:rPr>
          <w:i/>
        </w:rPr>
        <w:t>S</w:t>
      </w:r>
      <w:r w:rsidR="00D17257" w:rsidRPr="00D17257">
        <w:rPr>
          <w:i/>
          <w:vertAlign w:val="subscript"/>
        </w:rPr>
        <w:t>0</w:t>
      </w:r>
      <w:r w:rsidR="00D17257">
        <w:t xml:space="preserve"> </w:t>
      </w:r>
      <w:r w:rsidR="00EA6F59">
        <w:t>(</w:t>
      </w:r>
      <w:r w:rsidR="00D17257" w:rsidRPr="00D17257">
        <w:t>the earliest symbol of the overlapping PUSCHs</w:t>
      </w:r>
      <w:r w:rsidR="00EA6F59">
        <w:t>)</w:t>
      </w:r>
      <w:r w:rsidR="00D17257" w:rsidRPr="00D17257">
        <w:t xml:space="preserve"> is not bef</w:t>
      </w:r>
      <w:r w:rsidR="00D17257">
        <w:t xml:space="preserve">ore a symbol with CP starting </w:t>
      </w:r>
      <w:r w:rsidR="00D17257" w:rsidRPr="00B916EC">
        <w:rPr>
          <w:position w:val="-12"/>
        </w:rPr>
        <w:object w:dxaOrig="4580" w:dyaOrig="360" w14:anchorId="31FC1D36">
          <v:shape id="_x0000_i1026" type="#_x0000_t75" style="width:227.9pt;height:18.15pt" o:ole="">
            <v:imagedata r:id="rId10" o:title=""/>
          </v:shape>
          <o:OLEObject Type="Embed" ProgID="Equation.3" ShapeID="_x0000_i1026" DrawAspect="Content" ObjectID="_1608762173" r:id="rId12"/>
        </w:object>
      </w:r>
      <w:r w:rsidR="00D17257" w:rsidRPr="00D17257">
        <w:t xml:space="preserve"> after </w:t>
      </w:r>
      <w:r w:rsidR="00D17257">
        <w:t>the</w:t>
      </w:r>
      <w:r w:rsidR="00D17257" w:rsidRPr="00D17257">
        <w:t xml:space="preserve"> last symbol of the PDCCHs scheduling the PUSCHs (as specified in Section </w:t>
      </w:r>
      <w:r>
        <w:t>6.4</w:t>
      </w:r>
      <w:r w:rsidR="00D17257" w:rsidRPr="00D17257">
        <w:t xml:space="preserve"> of TS 38.</w:t>
      </w:r>
      <w:r w:rsidRPr="00D17257">
        <w:t>21</w:t>
      </w:r>
      <w:r>
        <w:t>4</w:t>
      </w:r>
      <w:r w:rsidR="00D17257" w:rsidRPr="00D17257">
        <w:t>). Otherwise, the UE ignores the later grant</w:t>
      </w:r>
      <w:r w:rsidR="00667743">
        <w:t xml:space="preserve"> as per </w:t>
      </w:r>
      <w:r w:rsidR="00DA1306">
        <w:t>R</w:t>
      </w:r>
      <w:r w:rsidR="00667743">
        <w:t>el-15 operation</w:t>
      </w:r>
      <w:r w:rsidR="00D17257" w:rsidRPr="00D17257">
        <w:t>.</w:t>
      </w:r>
      <w:bookmarkEnd w:id="2"/>
    </w:p>
    <w:p w14:paraId="35D9EB3A" w14:textId="27F1B57C" w:rsidR="00803774" w:rsidRDefault="00803774" w:rsidP="00CE0424">
      <w:pPr>
        <w:pStyle w:val="BodyText"/>
      </w:pPr>
    </w:p>
    <w:p w14:paraId="1249D496" w14:textId="51BB9800" w:rsidR="00AA5DD9" w:rsidRDefault="00EA6F59" w:rsidP="00AA5DD9">
      <w:pPr>
        <w:pStyle w:val="Heading2"/>
      </w:pPr>
      <w:r>
        <w:t xml:space="preserve">2.2 </w:t>
      </w:r>
      <w:r w:rsidR="00AA5DD9">
        <w:t xml:space="preserve">Dynamic grant versus </w:t>
      </w:r>
      <w:r w:rsidR="00602302">
        <w:t xml:space="preserve">configured </w:t>
      </w:r>
      <w:r w:rsidR="00AA5DD9">
        <w:t>grant</w:t>
      </w:r>
    </w:p>
    <w:p w14:paraId="11607573" w14:textId="1A97EBEB" w:rsidR="007272E4" w:rsidRDefault="00DB06AC" w:rsidP="00DB06A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We have </w:t>
      </w:r>
      <w:r w:rsidR="00DC66F4">
        <w:rPr>
          <w:rFonts w:ascii="Arial" w:hAnsi="Arial" w:cs="Arial"/>
          <w:lang w:val="en-US" w:eastAsia="zh-CN"/>
        </w:rPr>
        <w:t xml:space="preserve">stated in </w:t>
      </w:r>
      <w:r w:rsidR="00DC66F4">
        <w:rPr>
          <w:rFonts w:ascii="Arial" w:hAnsi="Arial" w:cs="Arial"/>
          <w:lang w:val="en-US" w:eastAsia="zh-CN"/>
        </w:rPr>
        <w:fldChar w:fldCharType="begin"/>
      </w:r>
      <w:r w:rsidR="00DC66F4">
        <w:rPr>
          <w:rFonts w:ascii="Arial" w:hAnsi="Arial" w:cs="Arial"/>
          <w:lang w:val="en-US" w:eastAsia="zh-CN"/>
        </w:rPr>
        <w:instrText xml:space="preserve"> REF _Ref534993913 \r \h </w:instrText>
      </w:r>
      <w:r w:rsidR="00DC66F4">
        <w:rPr>
          <w:rFonts w:ascii="Arial" w:hAnsi="Arial" w:cs="Arial"/>
          <w:lang w:val="en-US" w:eastAsia="zh-CN"/>
        </w:rPr>
      </w:r>
      <w:r w:rsidR="00DC66F4">
        <w:rPr>
          <w:rFonts w:ascii="Arial" w:hAnsi="Arial" w:cs="Arial"/>
          <w:lang w:val="en-US" w:eastAsia="zh-CN"/>
        </w:rPr>
        <w:fldChar w:fldCharType="separate"/>
      </w:r>
      <w:r w:rsidR="00DC66F4">
        <w:rPr>
          <w:rFonts w:ascii="Arial" w:hAnsi="Arial" w:cs="Arial"/>
          <w:lang w:val="en-US" w:eastAsia="zh-CN"/>
        </w:rPr>
        <w:t>[4]</w:t>
      </w:r>
      <w:r w:rsidR="00DC66F4">
        <w:rPr>
          <w:rFonts w:ascii="Arial" w:hAnsi="Arial" w:cs="Arial"/>
          <w:lang w:val="en-US" w:eastAsia="zh-CN"/>
        </w:rPr>
        <w:fldChar w:fldCharType="end"/>
      </w:r>
      <w:r w:rsidR="00DC66F4">
        <w:rPr>
          <w:rFonts w:ascii="Arial" w:hAnsi="Arial" w:cs="Arial"/>
          <w:lang w:val="en-US" w:eastAsia="zh-CN"/>
        </w:rPr>
        <w:t xml:space="preserve"> that </w:t>
      </w:r>
      <w:proofErr w:type="spellStart"/>
      <w:r w:rsidR="00DC66F4">
        <w:rPr>
          <w:rFonts w:ascii="Arial" w:hAnsi="Arial" w:cs="Arial"/>
          <w:lang w:val="en-US" w:eastAsia="zh-CN"/>
        </w:rPr>
        <w:t>gNB</w:t>
      </w:r>
      <w:proofErr w:type="spellEnd"/>
      <w:r w:rsidR="00DC66F4">
        <w:rPr>
          <w:rFonts w:ascii="Arial" w:hAnsi="Arial" w:cs="Arial"/>
          <w:lang w:val="en-US" w:eastAsia="zh-CN"/>
        </w:rPr>
        <w:t xml:space="preserve"> might allocate a configured grant</w:t>
      </w:r>
      <w:r w:rsidR="00DC66F4" w:rsidRPr="00DC66F4">
        <w:rPr>
          <w:rFonts w:ascii="Arial" w:hAnsi="Arial" w:cs="Arial"/>
          <w:lang w:val="en-US" w:eastAsia="zh-CN"/>
        </w:rPr>
        <w:t xml:space="preserve"> </w:t>
      </w:r>
      <w:r w:rsidR="00DC66F4" w:rsidRPr="00BF4A16">
        <w:rPr>
          <w:rFonts w:ascii="Arial" w:hAnsi="Arial" w:cs="Arial"/>
          <w:lang w:val="en-US" w:eastAsia="zh-CN"/>
        </w:rPr>
        <w:t>with very short periodicity</w:t>
      </w:r>
      <w:r w:rsidR="00DC66F4">
        <w:rPr>
          <w:rFonts w:ascii="Arial" w:hAnsi="Arial" w:cs="Arial"/>
          <w:lang w:val="en-US" w:eastAsia="zh-CN"/>
        </w:rPr>
        <w:t xml:space="preserve"> to target the use case</w:t>
      </w:r>
      <w:r w:rsidR="00B40791">
        <w:rPr>
          <w:rFonts w:ascii="Arial" w:hAnsi="Arial" w:cs="Arial"/>
          <w:lang w:val="en-US" w:eastAsia="zh-CN"/>
        </w:rPr>
        <w:t xml:space="preserve"> of infrequent </w:t>
      </w:r>
      <w:r w:rsidR="007272E4">
        <w:rPr>
          <w:rFonts w:ascii="Arial" w:hAnsi="Arial" w:cs="Arial"/>
          <w:lang w:val="en-US" w:eastAsia="zh-CN"/>
        </w:rPr>
        <w:t xml:space="preserve">high-priority </w:t>
      </w:r>
      <w:r w:rsidR="00B40791">
        <w:rPr>
          <w:rFonts w:ascii="Arial" w:hAnsi="Arial" w:cs="Arial"/>
          <w:lang w:val="en-US" w:eastAsia="zh-CN"/>
        </w:rPr>
        <w:t xml:space="preserve">packet arrival. For example, </w:t>
      </w:r>
      <w:proofErr w:type="spellStart"/>
      <w:r w:rsidR="00DC66F4" w:rsidRPr="00BF4A16">
        <w:rPr>
          <w:rFonts w:ascii="Arial" w:hAnsi="Arial" w:cs="Arial"/>
          <w:lang w:val="en-US" w:eastAsia="zh-CN"/>
        </w:rPr>
        <w:t>gNB</w:t>
      </w:r>
      <w:proofErr w:type="spellEnd"/>
      <w:r w:rsidR="00DC66F4" w:rsidRPr="00BF4A16">
        <w:rPr>
          <w:rFonts w:ascii="Arial" w:hAnsi="Arial" w:cs="Arial"/>
          <w:lang w:val="en-US" w:eastAsia="zh-CN"/>
        </w:rPr>
        <w:t xml:space="preserve"> know</w:t>
      </w:r>
      <w:r w:rsidR="00DC66F4" w:rsidRPr="00BF4A16">
        <w:rPr>
          <w:rFonts w:ascii="Arial" w:hAnsi="Arial" w:cs="Arial"/>
          <w:lang w:eastAsia="zh-CN"/>
        </w:rPr>
        <w:t>s</w:t>
      </w:r>
      <w:r w:rsidR="00DC66F4" w:rsidRPr="00BF4A16">
        <w:rPr>
          <w:rFonts w:ascii="Arial" w:hAnsi="Arial" w:cs="Arial"/>
          <w:lang w:val="en-US" w:eastAsia="zh-CN"/>
        </w:rPr>
        <w:t xml:space="preserve"> about all possible transmission occasions of </w:t>
      </w:r>
      <w:r w:rsidR="00E53C82">
        <w:rPr>
          <w:rFonts w:ascii="Arial" w:hAnsi="Arial" w:cs="Arial"/>
          <w:lang w:val="en-US" w:eastAsia="zh-CN"/>
        </w:rPr>
        <w:t xml:space="preserve">a </w:t>
      </w:r>
      <w:r w:rsidR="00DC66F4" w:rsidRPr="00BF4A16">
        <w:rPr>
          <w:rFonts w:ascii="Arial" w:hAnsi="Arial" w:cs="Arial"/>
          <w:lang w:val="en-US" w:eastAsia="zh-CN"/>
        </w:rPr>
        <w:t>critical application, but the application did not always transmit over those occasions</w:t>
      </w:r>
      <w:r w:rsidR="00DC66F4">
        <w:rPr>
          <w:rFonts w:ascii="Arial" w:hAnsi="Arial" w:cs="Arial"/>
          <w:lang w:eastAsia="zh-CN"/>
        </w:rPr>
        <w:t>.</w:t>
      </w:r>
      <w:r w:rsidR="007272E4">
        <w:rPr>
          <w:rFonts w:ascii="Arial" w:hAnsi="Arial" w:cs="Arial"/>
          <w:lang w:eastAsia="zh-CN"/>
        </w:rPr>
        <w:t xml:space="preserve"> Since most of these configured grant resources are not used, </w:t>
      </w:r>
      <w:proofErr w:type="spellStart"/>
      <w:r w:rsidR="007272E4">
        <w:rPr>
          <w:rFonts w:ascii="Arial" w:hAnsi="Arial" w:cs="Arial"/>
          <w:lang w:eastAsia="zh-CN"/>
        </w:rPr>
        <w:t>gNB</w:t>
      </w:r>
      <w:proofErr w:type="spellEnd"/>
      <w:r w:rsidR="007272E4">
        <w:rPr>
          <w:rFonts w:ascii="Arial" w:hAnsi="Arial" w:cs="Arial"/>
          <w:lang w:eastAsia="zh-CN"/>
        </w:rPr>
        <w:t xml:space="preserve"> might want to allocate a </w:t>
      </w:r>
      <w:r w:rsidR="00C12FB6">
        <w:rPr>
          <w:rFonts w:ascii="Arial" w:hAnsi="Arial" w:cs="Arial"/>
          <w:lang w:eastAsia="zh-CN"/>
        </w:rPr>
        <w:t>dynamic grant for low-priority data</w:t>
      </w:r>
      <w:r w:rsidR="00DB508C">
        <w:rPr>
          <w:rFonts w:ascii="Arial" w:hAnsi="Arial" w:cs="Arial"/>
          <w:lang w:eastAsia="zh-CN"/>
        </w:rPr>
        <w:t xml:space="preserve"> </w:t>
      </w:r>
      <w:r w:rsidR="009A30A7">
        <w:rPr>
          <w:rFonts w:ascii="Arial" w:hAnsi="Arial" w:cs="Arial"/>
          <w:lang w:eastAsia="zh-CN"/>
        </w:rPr>
        <w:t xml:space="preserve">in the overlapping resources </w:t>
      </w:r>
      <w:r w:rsidR="00DB508C">
        <w:rPr>
          <w:rFonts w:ascii="Arial" w:hAnsi="Arial" w:cs="Arial"/>
          <w:lang w:eastAsia="zh-CN"/>
        </w:rPr>
        <w:t>to increase the spectral efficiency</w:t>
      </w:r>
      <w:r w:rsidR="00C12FB6">
        <w:rPr>
          <w:rFonts w:ascii="Arial" w:hAnsi="Arial" w:cs="Arial"/>
          <w:lang w:eastAsia="zh-CN"/>
        </w:rPr>
        <w:t xml:space="preserve">. </w:t>
      </w:r>
      <w:r w:rsidR="00FE742C">
        <w:rPr>
          <w:rFonts w:ascii="Arial" w:hAnsi="Arial" w:cs="Arial"/>
          <w:lang w:eastAsia="zh-CN"/>
        </w:rPr>
        <w:t xml:space="preserve">The wanted behaviour from UE is to use </w:t>
      </w:r>
      <w:r w:rsidR="009A30A7">
        <w:rPr>
          <w:rFonts w:ascii="Arial" w:hAnsi="Arial" w:cs="Arial"/>
          <w:lang w:eastAsia="zh-CN"/>
        </w:rPr>
        <w:t xml:space="preserve">the configured grant </w:t>
      </w:r>
      <w:r w:rsidR="00FE742C">
        <w:rPr>
          <w:rFonts w:ascii="Arial" w:hAnsi="Arial" w:cs="Arial"/>
          <w:lang w:eastAsia="zh-CN"/>
        </w:rPr>
        <w:t>if high priority data arrives</w:t>
      </w:r>
      <w:r w:rsidR="009A30A7">
        <w:rPr>
          <w:rFonts w:ascii="Arial" w:hAnsi="Arial" w:cs="Arial"/>
          <w:lang w:eastAsia="zh-CN"/>
        </w:rPr>
        <w:t>, otherwise the dynamic grant is used</w:t>
      </w:r>
      <w:r w:rsidR="00FE742C">
        <w:rPr>
          <w:rFonts w:ascii="Arial" w:hAnsi="Arial" w:cs="Arial"/>
          <w:lang w:eastAsia="zh-CN"/>
        </w:rPr>
        <w:t xml:space="preserve"> for low-priority data</w:t>
      </w:r>
      <w:r w:rsidR="009A30A7">
        <w:rPr>
          <w:rFonts w:ascii="Arial" w:hAnsi="Arial" w:cs="Arial"/>
          <w:lang w:eastAsia="zh-CN"/>
        </w:rPr>
        <w:t xml:space="preserve">.  </w:t>
      </w:r>
      <w:r w:rsidR="00FE742C">
        <w:rPr>
          <w:rFonts w:ascii="Arial" w:hAnsi="Arial" w:cs="Arial"/>
          <w:lang w:eastAsia="zh-CN"/>
        </w:rPr>
        <w:t xml:space="preserve">It is our understanding that this is studied in RAN2. </w:t>
      </w:r>
    </w:p>
    <w:p w14:paraId="6FF964A0" w14:textId="2BC877B0" w:rsidR="00C7115A" w:rsidRDefault="00460F29" w:rsidP="00CE0424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However</w:t>
      </w:r>
      <w:r w:rsidR="00C7115A">
        <w:rPr>
          <w:rFonts w:cs="Arial"/>
        </w:rPr>
        <w:t xml:space="preserve">, </w:t>
      </w:r>
      <w:r w:rsidR="00C7115A" w:rsidRPr="00BF4A16">
        <w:rPr>
          <w:rFonts w:cs="Arial"/>
        </w:rPr>
        <w:t>I</w:t>
      </w:r>
      <w:r w:rsidR="00C7115A" w:rsidRPr="00BF4A16">
        <w:rPr>
          <w:rFonts w:cs="Arial"/>
          <w:lang w:val="en-US"/>
        </w:rPr>
        <w:t xml:space="preserve">n NR </w:t>
      </w:r>
      <w:r w:rsidR="00C7115A">
        <w:rPr>
          <w:rFonts w:cs="Arial"/>
        </w:rPr>
        <w:t>R</w:t>
      </w:r>
      <w:r w:rsidR="00C7115A" w:rsidRPr="00BF4A16">
        <w:rPr>
          <w:rFonts w:cs="Arial"/>
          <w:lang w:val="en-US"/>
        </w:rPr>
        <w:t xml:space="preserve">el-15, dynamic grant is always prioritized over configured grant, i.e., if </w:t>
      </w:r>
      <w:r w:rsidR="00C7115A" w:rsidRPr="00BF4A16">
        <w:rPr>
          <w:rFonts w:cs="Arial"/>
          <w:noProof/>
          <w:lang w:eastAsia="ko-KR"/>
        </w:rPr>
        <w:t xml:space="preserve">the PUSCH resources of the configured uplink grant overlap with the PUSCH resources of an uplink grant received on the PDCCH for the same Serving Cell, the configured </w:t>
      </w:r>
      <w:r w:rsidR="00C7115A" w:rsidRPr="00BF4A16">
        <w:rPr>
          <w:rFonts w:cs="Arial"/>
          <w:lang w:val="en-US"/>
        </w:rPr>
        <w:t xml:space="preserve">uplink grant is not delivered to the HARQ entity.  </w:t>
      </w:r>
    </w:p>
    <w:p w14:paraId="538C1151" w14:textId="77777777" w:rsidR="00C7115A" w:rsidRDefault="00C7115A" w:rsidP="00CE0424">
      <w:pPr>
        <w:pStyle w:val="BodyText"/>
        <w:rPr>
          <w:lang w:val="en-US"/>
        </w:rPr>
      </w:pPr>
    </w:p>
    <w:p w14:paraId="3AE570D0" w14:textId="5B510152" w:rsidR="0030718A" w:rsidRDefault="00C7115A" w:rsidP="00CE0424">
      <w:pPr>
        <w:pStyle w:val="BodyText"/>
      </w:pPr>
      <w:r>
        <w:rPr>
          <w:lang w:val="en-US"/>
        </w:rPr>
        <w:t>Thus</w:t>
      </w:r>
      <w:r w:rsidR="009A30A7">
        <w:rPr>
          <w:lang w:val="en-US"/>
        </w:rPr>
        <w:t xml:space="preserve">, the </w:t>
      </w:r>
      <w:r w:rsidR="00ED2691">
        <w:rPr>
          <w:lang w:val="en-US"/>
        </w:rPr>
        <w:t xml:space="preserve">identified </w:t>
      </w:r>
      <w:r w:rsidR="009A30A7">
        <w:rPr>
          <w:lang w:val="en-US"/>
        </w:rPr>
        <w:t xml:space="preserve">use case is when configured grant is for high priority traffic and the dynamic grant is for low priority traffic. On the other hand, we need to keep the </w:t>
      </w:r>
      <w:r w:rsidR="00FD3375">
        <w:rPr>
          <w:lang w:val="en-US"/>
        </w:rPr>
        <w:t xml:space="preserve">rel-15 </w:t>
      </w:r>
      <w:r w:rsidR="009A30A7">
        <w:rPr>
          <w:lang w:val="en-US"/>
        </w:rPr>
        <w:t xml:space="preserve">rule for the same priority traffic, </w:t>
      </w:r>
      <w:r w:rsidR="00FD3375">
        <w:rPr>
          <w:lang w:val="en-US"/>
        </w:rPr>
        <w:t xml:space="preserve">that is, </w:t>
      </w:r>
      <w:r w:rsidR="009A30A7">
        <w:rPr>
          <w:lang w:val="en-US"/>
        </w:rPr>
        <w:t xml:space="preserve">dynamic grant overrides configured grant.  </w:t>
      </w:r>
    </w:p>
    <w:p w14:paraId="59833A27" w14:textId="28338E99" w:rsidR="00A258FC" w:rsidRDefault="007E1CBB" w:rsidP="00CE0424">
      <w:pPr>
        <w:pStyle w:val="BodyText"/>
      </w:pPr>
      <w:r>
        <w:t>In order to provide to MAC layer needed information for taking prioritization decisions</w:t>
      </w:r>
      <w:r w:rsidR="00B75706">
        <w:t xml:space="preserve"> t</w:t>
      </w:r>
      <w:r w:rsidR="000F701B">
        <w:t>he concept of transmission profiles</w:t>
      </w:r>
      <w:r w:rsidR="00B75706">
        <w:t xml:space="preserve"> [3] to signal additional information can be reused from Release 15</w:t>
      </w:r>
      <w:bookmarkStart w:id="3" w:name="_GoBack"/>
      <w:bookmarkEnd w:id="3"/>
      <w:r w:rsidR="00B75706">
        <w:t xml:space="preserve"> work. </w:t>
      </w:r>
      <w:r w:rsidR="00803774">
        <w:t>Since URLLC specific DCI is under discussion now, it is a right time to study whether intra-UE prioritization specific signalling should be added in DCI or not.</w:t>
      </w:r>
    </w:p>
    <w:p w14:paraId="1FEB9EC3" w14:textId="072D8BBD" w:rsidR="00287838" w:rsidRDefault="00D17257" w:rsidP="00A04F49">
      <w:pPr>
        <w:pStyle w:val="Proposal"/>
      </w:pPr>
      <w:bookmarkStart w:id="4" w:name="_Toc347823621"/>
      <w:bookmarkStart w:id="5" w:name="_Toc347824073"/>
      <w:bookmarkStart w:id="6" w:name="_Toc347824246"/>
      <w:bookmarkStart w:id="7" w:name="_Toc535018998"/>
      <w:r>
        <w:t xml:space="preserve">Study transmission </w:t>
      </w:r>
      <w:r w:rsidR="00DA1306">
        <w:t>profile</w:t>
      </w:r>
      <w:r>
        <w:t xml:space="preserve"> signalling</w:t>
      </w:r>
      <w:r w:rsidR="00DA1306">
        <w:t xml:space="preserve"> on DCI for supporting intra-UE prioritization</w:t>
      </w:r>
      <w:r w:rsidR="00CC2011" w:rsidRPr="00A04F49">
        <w:t>.</w:t>
      </w:r>
      <w:bookmarkEnd w:id="4"/>
      <w:bookmarkEnd w:id="5"/>
      <w:bookmarkEnd w:id="6"/>
      <w:bookmarkEnd w:id="7"/>
    </w:p>
    <w:p w14:paraId="5125CA42" w14:textId="77777777" w:rsidR="00112506" w:rsidRPr="00A04F49" w:rsidRDefault="00112506" w:rsidP="00EA6F59">
      <w:pPr>
        <w:pStyle w:val="Proposal"/>
        <w:numPr>
          <w:ilvl w:val="0"/>
          <w:numId w:val="0"/>
        </w:numPr>
        <w:ind w:left="1701" w:hanging="1701"/>
      </w:pPr>
    </w:p>
    <w:p w14:paraId="375D782F" w14:textId="31F6B96E" w:rsidR="00C01F33" w:rsidRPr="00CE0424" w:rsidRDefault="00EA6F59" w:rsidP="00CE0424">
      <w:pPr>
        <w:pStyle w:val="Heading1"/>
      </w:pPr>
      <w:r>
        <w:t xml:space="preserve">3. </w:t>
      </w:r>
      <w:r w:rsidR="00C01F33" w:rsidRPr="00CE0424">
        <w:t>Conclusion</w:t>
      </w:r>
    </w:p>
    <w:p w14:paraId="5DF8B48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D3B9370" w14:textId="27BCFD1E" w:rsidR="00DA1306" w:rsidRDefault="006E1C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35018996" w:history="1">
        <w:r w:rsidR="00DA1306" w:rsidRPr="009A6D8E">
          <w:rPr>
            <w:rStyle w:val="Hyperlink"/>
            <w:noProof/>
          </w:rPr>
          <w:t>Proposal 1</w:t>
        </w:r>
        <w:r w:rsidR="00DA1306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DA1306" w:rsidRPr="009A6D8E">
          <w:rPr>
            <w:rStyle w:val="Hyperlink"/>
            <w:noProof/>
          </w:rPr>
          <w:t>In case of dynamic grant versus dynamic grant prioritization, UE assumes a later received UL grant has a higher priority than an earlier grant.</w:t>
        </w:r>
      </w:hyperlink>
    </w:p>
    <w:p w14:paraId="6193FB70" w14:textId="0010D414" w:rsidR="00DA1306" w:rsidRDefault="00DA1306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35018997" w:history="1">
        <w:r w:rsidRPr="009A6D8E">
          <w:rPr>
            <w:rStyle w:val="Hyperlink"/>
            <w:noProof/>
          </w:rPr>
          <w:t>Proposal 2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9A6D8E">
          <w:rPr>
            <w:rStyle w:val="Hyperlink"/>
            <w:noProof/>
          </w:rPr>
          <w:t xml:space="preserve">In case of intra-UE prioritization, the UE may follow the later received grant and drop the previously scheduled PUSCH if </w:t>
        </w:r>
        <w:r w:rsidRPr="009A6D8E">
          <w:rPr>
            <w:rStyle w:val="Hyperlink"/>
            <w:i/>
            <w:noProof/>
          </w:rPr>
          <w:t>S</w:t>
        </w:r>
        <w:r w:rsidRPr="009A6D8E">
          <w:rPr>
            <w:rStyle w:val="Hyperlink"/>
            <w:i/>
            <w:noProof/>
            <w:vertAlign w:val="subscript"/>
          </w:rPr>
          <w:t>0</w:t>
        </w:r>
        <w:r w:rsidRPr="009A6D8E">
          <w:rPr>
            <w:rStyle w:val="Hyperlink"/>
            <w:noProof/>
          </w:rPr>
          <w:t xml:space="preserve"> (the earliest symbol of the overlapping PUSCHs) is not before a symbol with CP starting </w:t>
        </w:r>
        <w:r w:rsidRPr="00B916EC">
          <w:rPr>
            <w:noProof/>
            <w:position w:val="-12"/>
          </w:rPr>
          <w:object w:dxaOrig="4580" w:dyaOrig="360" w14:anchorId="1D785AAE">
            <v:shape id="_x0000_i1055" type="#_x0000_t75" style="width:227.9pt;height:18.15pt" o:ole="">
              <v:imagedata r:id="rId10" o:title=""/>
            </v:shape>
            <o:OLEObject Type="Embed" ProgID="Equation.3" ShapeID="_x0000_i1055" DrawAspect="Content" ObjectID="_1608762174" r:id="rId13"/>
          </w:object>
        </w:r>
        <w:r w:rsidRPr="009A6D8E">
          <w:rPr>
            <w:rStyle w:val="Hyperlink"/>
            <w:noProof/>
          </w:rPr>
          <w:t xml:space="preserve"> after the last symbol of the PDCCHs scheduling the PUSCHs (as specified in Section 6.4 of TS 38.214). Otherwise, the UE ignores the later grant as per Rel-15 operation.</w:t>
        </w:r>
      </w:hyperlink>
    </w:p>
    <w:p w14:paraId="0521EA08" w14:textId="6C3B1F27" w:rsidR="00DA1306" w:rsidRDefault="00DA1306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35018998" w:history="1">
        <w:r w:rsidRPr="009A6D8E">
          <w:rPr>
            <w:rStyle w:val="Hyperlink"/>
            <w:noProof/>
          </w:rPr>
          <w:t>Proposal 3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9A6D8E">
          <w:rPr>
            <w:rStyle w:val="Hyperlink"/>
            <w:noProof/>
          </w:rPr>
          <w:t>Study transmission profile signalling on DCI for supporting intra-UE prioritization.</w:t>
        </w:r>
      </w:hyperlink>
    </w:p>
    <w:p w14:paraId="507C51A5" w14:textId="3F899DD2" w:rsidR="00C01F33" w:rsidRPr="00CE0424" w:rsidRDefault="006E1C82" w:rsidP="00D17257">
      <w:pPr>
        <w:pStyle w:val="BodyText"/>
      </w:pPr>
      <w:r>
        <w:rPr>
          <w:b/>
          <w:bCs/>
          <w:lang w:val="en-US"/>
        </w:rPr>
        <w:fldChar w:fldCharType="end"/>
      </w:r>
    </w:p>
    <w:p w14:paraId="4C5504C0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74A42379" w14:textId="3F0107D9" w:rsidR="005F3025" w:rsidRPr="00CE0424" w:rsidRDefault="00521854" w:rsidP="00521854">
      <w:pPr>
        <w:pStyle w:val="Reference"/>
      </w:pPr>
      <w:bookmarkStart w:id="9" w:name="_Ref174151459"/>
      <w:bookmarkStart w:id="10" w:name="_Ref189809556"/>
      <w:r w:rsidRPr="00521854">
        <w:t>R1-1812157</w:t>
      </w:r>
      <w:r>
        <w:t xml:space="preserve">, </w:t>
      </w:r>
      <w:r w:rsidRPr="00521854">
        <w:t>Intra-UE Prioritization and</w:t>
      </w:r>
      <w:r>
        <w:t xml:space="preserve"> Multiplexing of </w:t>
      </w:r>
      <w:r w:rsidRPr="00521854">
        <w:t>UL Transmissions</w:t>
      </w:r>
      <w:r>
        <w:t>,</w:t>
      </w:r>
      <w:r w:rsidR="005F3025" w:rsidRPr="00CE0424">
        <w:t xml:space="preserve"> </w:t>
      </w:r>
      <w:r>
        <w:t>Ericsson</w:t>
      </w:r>
      <w:r w:rsidR="005F3025" w:rsidRPr="00CE0424">
        <w:t xml:space="preserve">, </w:t>
      </w:r>
      <w:r>
        <w:t>RAN1#95</w:t>
      </w:r>
      <w:r w:rsidR="005F3025" w:rsidRPr="00CE0424">
        <w:t xml:space="preserve">, </w:t>
      </w:r>
      <w:r>
        <w:t>November 2018.</w:t>
      </w:r>
    </w:p>
    <w:p w14:paraId="57F1BE1C" w14:textId="1992AB83" w:rsidR="005F3025" w:rsidRDefault="0087257B" w:rsidP="00311702">
      <w:pPr>
        <w:pStyle w:val="Reference"/>
      </w:pPr>
      <w:r w:rsidRPr="00AF403B">
        <w:t>R2-1818795</w:t>
      </w:r>
      <w:r w:rsidRPr="00CE0424">
        <w:t xml:space="preserve">, </w:t>
      </w:r>
      <w:r w:rsidRPr="00AF403B">
        <w:t>LS on Intra-UE Prioritization/Multiplexing</w:t>
      </w:r>
      <w:r w:rsidRPr="00CE0424">
        <w:t xml:space="preserve">, </w:t>
      </w:r>
      <w:r w:rsidRPr="00AF403B">
        <w:t>TSG RAN WG2</w:t>
      </w:r>
      <w:r w:rsidRPr="00CE0424">
        <w:t xml:space="preserve">, </w:t>
      </w:r>
      <w:r>
        <w:t>RAN2</w:t>
      </w:r>
      <w:r w:rsidRPr="00AF403B">
        <w:t>#104</w:t>
      </w:r>
      <w:r>
        <w:t>,</w:t>
      </w:r>
      <w:r w:rsidRPr="00AF403B">
        <w:t xml:space="preserve"> November 2018</w:t>
      </w:r>
    </w:p>
    <w:p w14:paraId="2ECADB22" w14:textId="6B19F919" w:rsidR="00B75706" w:rsidRDefault="00B75706" w:rsidP="00B75706">
      <w:pPr>
        <w:pStyle w:val="Reference"/>
      </w:pPr>
      <w:r>
        <w:t xml:space="preserve">R1-1714449, </w:t>
      </w:r>
      <w:r w:rsidRPr="00B75706">
        <w:t>On Transmission Profile, Ericsson, RAN1#90, Prague, Czech Republic, August 2017.</w:t>
      </w:r>
    </w:p>
    <w:p w14:paraId="5E762B71" w14:textId="5BEFAE55" w:rsidR="00DC66F4" w:rsidRDefault="00DC66F4" w:rsidP="00DC66F4">
      <w:pPr>
        <w:pStyle w:val="Reference"/>
      </w:pPr>
      <w:bookmarkStart w:id="11" w:name="_Ref534993913"/>
      <w:r w:rsidRPr="00DC66F4">
        <w:t>R2-1817178</w:t>
      </w:r>
      <w:r>
        <w:t xml:space="preserve">, </w:t>
      </w:r>
      <w:r w:rsidRPr="00DC66F4">
        <w:t>On prioritization between overlapping configured and dynamic grants</w:t>
      </w:r>
      <w:r>
        <w:t>, Ericsson,</w:t>
      </w:r>
      <w:bookmarkEnd w:id="11"/>
      <w:r>
        <w:t xml:space="preserve"> </w:t>
      </w:r>
    </w:p>
    <w:bookmarkEnd w:id="9"/>
    <w:bookmarkEnd w:id="10"/>
    <w:p w14:paraId="70171A6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914F8" w14:textId="77777777" w:rsidR="00792A7C" w:rsidRDefault="00792A7C">
      <w:r>
        <w:separator/>
      </w:r>
    </w:p>
  </w:endnote>
  <w:endnote w:type="continuationSeparator" w:id="0">
    <w:p w14:paraId="401B6A48" w14:textId="77777777" w:rsidR="00792A7C" w:rsidRDefault="00792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0E20E" w14:textId="77777777" w:rsidR="00792A7C" w:rsidRDefault="00792A7C">
      <w:r>
        <w:separator/>
      </w:r>
    </w:p>
  </w:footnote>
  <w:footnote w:type="continuationSeparator" w:id="0">
    <w:p w14:paraId="4EEB62DB" w14:textId="77777777" w:rsidR="00792A7C" w:rsidRDefault="00792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E552CA"/>
    <w:multiLevelType w:val="hybridMultilevel"/>
    <w:tmpl w:val="518AB64A"/>
    <w:lvl w:ilvl="0" w:tplc="843EA1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5025E"/>
    <w:multiLevelType w:val="hybridMultilevel"/>
    <w:tmpl w:val="774CFC4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93990"/>
    <w:multiLevelType w:val="hybridMultilevel"/>
    <w:tmpl w:val="0870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0"/>
  </w:num>
  <w:num w:numId="22">
    <w:abstractNumId w:val="23"/>
  </w:num>
  <w:num w:numId="23">
    <w:abstractNumId w:val="12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076F"/>
    <w:rsid w:val="00011B28"/>
    <w:rsid w:val="00015D15"/>
    <w:rsid w:val="000218B4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E9D"/>
    <w:rsid w:val="0005606A"/>
    <w:rsid w:val="00057117"/>
    <w:rsid w:val="000616E7"/>
    <w:rsid w:val="0006487E"/>
    <w:rsid w:val="00065E1A"/>
    <w:rsid w:val="000728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8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65"/>
    <w:rsid w:val="000D2F76"/>
    <w:rsid w:val="000D2F8F"/>
    <w:rsid w:val="000D4797"/>
    <w:rsid w:val="000D6C32"/>
    <w:rsid w:val="000E0527"/>
    <w:rsid w:val="000E1E92"/>
    <w:rsid w:val="000F06D6"/>
    <w:rsid w:val="000F0EB1"/>
    <w:rsid w:val="000F1106"/>
    <w:rsid w:val="000F3BE9"/>
    <w:rsid w:val="000F3F6C"/>
    <w:rsid w:val="000F6121"/>
    <w:rsid w:val="000F6DF3"/>
    <w:rsid w:val="000F701B"/>
    <w:rsid w:val="001005FF"/>
    <w:rsid w:val="001062FB"/>
    <w:rsid w:val="001063E6"/>
    <w:rsid w:val="0011250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1D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9FF"/>
    <w:rsid w:val="001B0D97"/>
    <w:rsid w:val="001B4A20"/>
    <w:rsid w:val="001B5A5D"/>
    <w:rsid w:val="001B5EB9"/>
    <w:rsid w:val="001C013B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95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C4D"/>
    <w:rsid w:val="00292EB7"/>
    <w:rsid w:val="002938E4"/>
    <w:rsid w:val="00296227"/>
    <w:rsid w:val="00296F44"/>
    <w:rsid w:val="0029777D"/>
    <w:rsid w:val="002A055E"/>
    <w:rsid w:val="002A1D4E"/>
    <w:rsid w:val="002A2869"/>
    <w:rsid w:val="002B24D6"/>
    <w:rsid w:val="002B2886"/>
    <w:rsid w:val="002C41E6"/>
    <w:rsid w:val="002D071A"/>
    <w:rsid w:val="002D34B2"/>
    <w:rsid w:val="002D444C"/>
    <w:rsid w:val="002D48B0"/>
    <w:rsid w:val="002D5B37"/>
    <w:rsid w:val="002D7637"/>
    <w:rsid w:val="002E17F2"/>
    <w:rsid w:val="002E7CAE"/>
    <w:rsid w:val="002F2771"/>
    <w:rsid w:val="002F37A9"/>
    <w:rsid w:val="002F53F2"/>
    <w:rsid w:val="00301CE6"/>
    <w:rsid w:val="0030256B"/>
    <w:rsid w:val="0030501F"/>
    <w:rsid w:val="0030718A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F94"/>
    <w:rsid w:val="00331751"/>
    <w:rsid w:val="00334579"/>
    <w:rsid w:val="00335858"/>
    <w:rsid w:val="00336BDA"/>
    <w:rsid w:val="00342BD7"/>
    <w:rsid w:val="00346DB5"/>
    <w:rsid w:val="003477B1"/>
    <w:rsid w:val="00356A34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1611"/>
    <w:rsid w:val="003E4850"/>
    <w:rsid w:val="003E55E4"/>
    <w:rsid w:val="003E74E3"/>
    <w:rsid w:val="003F05C7"/>
    <w:rsid w:val="003F2CD4"/>
    <w:rsid w:val="003F5BD6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111"/>
    <w:rsid w:val="004167ED"/>
    <w:rsid w:val="00421105"/>
    <w:rsid w:val="00422AA4"/>
    <w:rsid w:val="004242F4"/>
    <w:rsid w:val="00427248"/>
    <w:rsid w:val="00436F1A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F2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2B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854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143"/>
    <w:rsid w:val="0058798C"/>
    <w:rsid w:val="005900FA"/>
    <w:rsid w:val="005935A4"/>
    <w:rsid w:val="005948C2"/>
    <w:rsid w:val="00595DCA"/>
    <w:rsid w:val="0059779B"/>
    <w:rsid w:val="005A209A"/>
    <w:rsid w:val="005A3348"/>
    <w:rsid w:val="005A662D"/>
    <w:rsid w:val="005B1409"/>
    <w:rsid w:val="005B35D7"/>
    <w:rsid w:val="005B392A"/>
    <w:rsid w:val="005B3AA3"/>
    <w:rsid w:val="005B6F83"/>
    <w:rsid w:val="005B78B9"/>
    <w:rsid w:val="005C74FB"/>
    <w:rsid w:val="005D1602"/>
    <w:rsid w:val="005E01F8"/>
    <w:rsid w:val="005E385F"/>
    <w:rsid w:val="005E5B81"/>
    <w:rsid w:val="005F2CB1"/>
    <w:rsid w:val="005F3025"/>
    <w:rsid w:val="005F618C"/>
    <w:rsid w:val="005F70BD"/>
    <w:rsid w:val="005F7E4C"/>
    <w:rsid w:val="00602302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4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51A"/>
    <w:rsid w:val="006949E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164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976"/>
    <w:rsid w:val="007148D3"/>
    <w:rsid w:val="00715B9A"/>
    <w:rsid w:val="00715E2A"/>
    <w:rsid w:val="00716332"/>
    <w:rsid w:val="007257D0"/>
    <w:rsid w:val="00726EA6"/>
    <w:rsid w:val="00727208"/>
    <w:rsid w:val="007272E4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29F"/>
    <w:rsid w:val="0078177E"/>
    <w:rsid w:val="0078304C"/>
    <w:rsid w:val="00783673"/>
    <w:rsid w:val="00785490"/>
    <w:rsid w:val="007925EA"/>
    <w:rsid w:val="00792A7C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E98"/>
    <w:rsid w:val="007D5901"/>
    <w:rsid w:val="007D7526"/>
    <w:rsid w:val="007D7ABD"/>
    <w:rsid w:val="007E1CBB"/>
    <w:rsid w:val="007E4610"/>
    <w:rsid w:val="007E4715"/>
    <w:rsid w:val="007E505B"/>
    <w:rsid w:val="007E7091"/>
    <w:rsid w:val="00803774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1A4"/>
    <w:rsid w:val="008376AC"/>
    <w:rsid w:val="008444E8"/>
    <w:rsid w:val="00844E80"/>
    <w:rsid w:val="00846FE7"/>
    <w:rsid w:val="00856911"/>
    <w:rsid w:val="008569B7"/>
    <w:rsid w:val="008677FD"/>
    <w:rsid w:val="008706D4"/>
    <w:rsid w:val="00870F8A"/>
    <w:rsid w:val="008719A4"/>
    <w:rsid w:val="00871D23"/>
    <w:rsid w:val="0087257B"/>
    <w:rsid w:val="00874312"/>
    <w:rsid w:val="0087437C"/>
    <w:rsid w:val="00875CD7"/>
    <w:rsid w:val="00876B4D"/>
    <w:rsid w:val="00877F18"/>
    <w:rsid w:val="008941E3"/>
    <w:rsid w:val="00894A88"/>
    <w:rsid w:val="00895386"/>
    <w:rsid w:val="008A1A57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5D1"/>
    <w:rsid w:val="008E1909"/>
    <w:rsid w:val="008E7E15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7C"/>
    <w:rsid w:val="0096554B"/>
    <w:rsid w:val="0096584A"/>
    <w:rsid w:val="00971217"/>
    <w:rsid w:val="00971F08"/>
    <w:rsid w:val="00972255"/>
    <w:rsid w:val="00974BF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0A7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C5F"/>
    <w:rsid w:val="009E068F"/>
    <w:rsid w:val="009E14E0"/>
    <w:rsid w:val="009E1BB6"/>
    <w:rsid w:val="009E35DB"/>
    <w:rsid w:val="009E47A3"/>
    <w:rsid w:val="009F08F3"/>
    <w:rsid w:val="009F344F"/>
    <w:rsid w:val="009F7839"/>
    <w:rsid w:val="00A031D8"/>
    <w:rsid w:val="00A048A8"/>
    <w:rsid w:val="00A04F49"/>
    <w:rsid w:val="00A13E54"/>
    <w:rsid w:val="00A17F63"/>
    <w:rsid w:val="00A2193B"/>
    <w:rsid w:val="00A2351A"/>
    <w:rsid w:val="00A258FC"/>
    <w:rsid w:val="00A264A9"/>
    <w:rsid w:val="00A26DCF"/>
    <w:rsid w:val="00A27785"/>
    <w:rsid w:val="00A30187"/>
    <w:rsid w:val="00A3448A"/>
    <w:rsid w:val="00A36297"/>
    <w:rsid w:val="00A41E2B"/>
    <w:rsid w:val="00A438A9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5DD9"/>
    <w:rsid w:val="00AB0BC8"/>
    <w:rsid w:val="00AB11CA"/>
    <w:rsid w:val="00AB14D9"/>
    <w:rsid w:val="00AB3B07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78FC"/>
    <w:rsid w:val="00AF1C5D"/>
    <w:rsid w:val="00AF42D7"/>
    <w:rsid w:val="00B006FE"/>
    <w:rsid w:val="00B007CB"/>
    <w:rsid w:val="00B02AA9"/>
    <w:rsid w:val="00B02FA3"/>
    <w:rsid w:val="00B05084"/>
    <w:rsid w:val="00B157F9"/>
    <w:rsid w:val="00B168A0"/>
    <w:rsid w:val="00B20256"/>
    <w:rsid w:val="00B20D09"/>
    <w:rsid w:val="00B26D2C"/>
    <w:rsid w:val="00B2763F"/>
    <w:rsid w:val="00B27AAC"/>
    <w:rsid w:val="00B30929"/>
    <w:rsid w:val="00B372AA"/>
    <w:rsid w:val="00B40445"/>
    <w:rsid w:val="00B40791"/>
    <w:rsid w:val="00B409E0"/>
    <w:rsid w:val="00B41888"/>
    <w:rsid w:val="00B45A52"/>
    <w:rsid w:val="00B46175"/>
    <w:rsid w:val="00B548B7"/>
    <w:rsid w:val="00B63961"/>
    <w:rsid w:val="00B664C7"/>
    <w:rsid w:val="00B739F6"/>
    <w:rsid w:val="00B75706"/>
    <w:rsid w:val="00B81A6C"/>
    <w:rsid w:val="00B857AB"/>
    <w:rsid w:val="00B85DE5"/>
    <w:rsid w:val="00B90F73"/>
    <w:rsid w:val="00B93B59"/>
    <w:rsid w:val="00B9406A"/>
    <w:rsid w:val="00BA1BCF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FB6"/>
    <w:rsid w:val="00C14D4B"/>
    <w:rsid w:val="00C154BB"/>
    <w:rsid w:val="00C279B5"/>
    <w:rsid w:val="00C27C45"/>
    <w:rsid w:val="00C3719D"/>
    <w:rsid w:val="00C37CB2"/>
    <w:rsid w:val="00C469A1"/>
    <w:rsid w:val="00C473A5"/>
    <w:rsid w:val="00C47FF8"/>
    <w:rsid w:val="00C54995"/>
    <w:rsid w:val="00C54D41"/>
    <w:rsid w:val="00C60783"/>
    <w:rsid w:val="00C64672"/>
    <w:rsid w:val="00C70697"/>
    <w:rsid w:val="00C7115A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48AD"/>
    <w:rsid w:val="00CB1F63"/>
    <w:rsid w:val="00CB7170"/>
    <w:rsid w:val="00CB7795"/>
    <w:rsid w:val="00CB7FFC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865"/>
    <w:rsid w:val="00D0349B"/>
    <w:rsid w:val="00D10249"/>
    <w:rsid w:val="00D115C3"/>
    <w:rsid w:val="00D11897"/>
    <w:rsid w:val="00D13135"/>
    <w:rsid w:val="00D13E4E"/>
    <w:rsid w:val="00D17257"/>
    <w:rsid w:val="00D239A7"/>
    <w:rsid w:val="00D23F47"/>
    <w:rsid w:val="00D3586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7E60"/>
    <w:rsid w:val="00DA1306"/>
    <w:rsid w:val="00DA305E"/>
    <w:rsid w:val="00DA5417"/>
    <w:rsid w:val="00DA56E8"/>
    <w:rsid w:val="00DB06AC"/>
    <w:rsid w:val="00DB0A9F"/>
    <w:rsid w:val="00DB377D"/>
    <w:rsid w:val="00DB508C"/>
    <w:rsid w:val="00DC2D36"/>
    <w:rsid w:val="00DC53EF"/>
    <w:rsid w:val="00DC66F4"/>
    <w:rsid w:val="00DC77E3"/>
    <w:rsid w:val="00DE1B06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C82"/>
    <w:rsid w:val="00E54E3B"/>
    <w:rsid w:val="00E57565"/>
    <w:rsid w:val="00E63838"/>
    <w:rsid w:val="00E64434"/>
    <w:rsid w:val="00E67C51"/>
    <w:rsid w:val="00E70929"/>
    <w:rsid w:val="00E72EFC"/>
    <w:rsid w:val="00E7331D"/>
    <w:rsid w:val="00E758EC"/>
    <w:rsid w:val="00E75E4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6D5"/>
    <w:rsid w:val="00EA6F59"/>
    <w:rsid w:val="00EA7A41"/>
    <w:rsid w:val="00EB077B"/>
    <w:rsid w:val="00EB4EA2"/>
    <w:rsid w:val="00EB70E5"/>
    <w:rsid w:val="00EB7C3D"/>
    <w:rsid w:val="00EC24D5"/>
    <w:rsid w:val="00EC27C6"/>
    <w:rsid w:val="00EC4207"/>
    <w:rsid w:val="00EC5653"/>
    <w:rsid w:val="00EC71CE"/>
    <w:rsid w:val="00EC79E7"/>
    <w:rsid w:val="00ED1006"/>
    <w:rsid w:val="00ED2691"/>
    <w:rsid w:val="00EF18FE"/>
    <w:rsid w:val="00EF5787"/>
    <w:rsid w:val="00EF60D0"/>
    <w:rsid w:val="00F0528D"/>
    <w:rsid w:val="00F06C67"/>
    <w:rsid w:val="00F06CEF"/>
    <w:rsid w:val="00F06DFD"/>
    <w:rsid w:val="00F071D1"/>
    <w:rsid w:val="00F07533"/>
    <w:rsid w:val="00F10629"/>
    <w:rsid w:val="00F121F3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2C4A"/>
    <w:rsid w:val="00F60203"/>
    <w:rsid w:val="00F607C5"/>
    <w:rsid w:val="00F60DEA"/>
    <w:rsid w:val="00F61780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3375"/>
    <w:rsid w:val="00FD47ED"/>
    <w:rsid w:val="00FD6823"/>
    <w:rsid w:val="00FD74DB"/>
    <w:rsid w:val="00FD7660"/>
    <w:rsid w:val="00FE0655"/>
    <w:rsid w:val="00FE2365"/>
    <w:rsid w:val="00FE37D7"/>
    <w:rsid w:val="00FE4C7B"/>
    <w:rsid w:val="00FE7336"/>
    <w:rsid w:val="00FE742C"/>
    <w:rsid w:val="00FE787C"/>
    <w:rsid w:val="00FF45A5"/>
    <w:rsid w:val="00FF522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6D915"/>
  <w15:chartTrackingRefBased/>
  <w15:docId w15:val="{A2640FE1-C133-4AD1-9FAB-3A4F19D90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D8799-2D09-4C32-B97E-661F6F626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379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6372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72</cp:revision>
  <cp:lastPrinted>2008-01-31T07:09:00Z</cp:lastPrinted>
  <dcterms:created xsi:type="dcterms:W3CDTF">2018-10-25T14:29:00Z</dcterms:created>
  <dcterms:modified xsi:type="dcterms:W3CDTF">2019-01-12T07:14:00Z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